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E8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020315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 </w:t>
      </w:r>
      <w:r w:rsidR="00020315">
        <w:rPr>
          <w:b/>
          <w:sz w:val="28"/>
          <w:szCs w:val="28"/>
        </w:rPr>
        <w:t xml:space="preserve"> </w:t>
      </w:r>
      <w:r w:rsidRPr="00F52E88">
        <w:rPr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 СОЛЬ-ИЛЕЦКИЙ</w:t>
      </w:r>
    </w:p>
    <w:p w:rsidR="00661889" w:rsidRPr="00661889" w:rsidRDefault="00661889" w:rsidP="00661889">
      <w:pPr>
        <w:tabs>
          <w:tab w:val="left" w:pos="56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20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    </w:t>
      </w:r>
      <w:r w:rsidR="00020315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A92038">
        <w:rPr>
          <w:rFonts w:ascii="Times New Roman" w:hAnsi="Times New Roman" w:cs="Times New Roman"/>
          <w:sz w:val="28"/>
          <w:szCs w:val="28"/>
        </w:rPr>
        <w:t xml:space="preserve"> </w:t>
      </w:r>
      <w:r w:rsidR="00C72DEE">
        <w:rPr>
          <w:rFonts w:ascii="Times New Roman" w:hAnsi="Times New Roman" w:cs="Times New Roman"/>
          <w:sz w:val="28"/>
          <w:szCs w:val="28"/>
        </w:rPr>
        <w:t xml:space="preserve">  </w:t>
      </w:r>
      <w:r w:rsidR="00CB4236">
        <w:rPr>
          <w:rFonts w:ascii="Times New Roman" w:hAnsi="Times New Roman" w:cs="Times New Roman"/>
          <w:sz w:val="28"/>
          <w:szCs w:val="28"/>
        </w:rPr>
        <w:t xml:space="preserve">    </w:t>
      </w:r>
      <w:r w:rsidR="00C72DEE">
        <w:rPr>
          <w:rFonts w:ascii="Times New Roman" w:hAnsi="Times New Roman" w:cs="Times New Roman"/>
          <w:sz w:val="28"/>
          <w:szCs w:val="28"/>
        </w:rPr>
        <w:t xml:space="preserve">  </w:t>
      </w:r>
      <w:r w:rsidR="00CB4236">
        <w:rPr>
          <w:rFonts w:ascii="Times New Roman" w:hAnsi="Times New Roman" w:cs="Times New Roman"/>
          <w:sz w:val="28"/>
          <w:szCs w:val="28"/>
        </w:rPr>
        <w:t>13.03.</w:t>
      </w:r>
      <w:r w:rsidRPr="00661889">
        <w:rPr>
          <w:rFonts w:ascii="Times New Roman" w:hAnsi="Times New Roman" w:cs="Times New Roman"/>
          <w:sz w:val="28"/>
          <w:szCs w:val="28"/>
        </w:rPr>
        <w:t>2017 №</w:t>
      </w:r>
      <w:r w:rsidR="00CB4236">
        <w:rPr>
          <w:rFonts w:ascii="Times New Roman" w:hAnsi="Times New Roman" w:cs="Times New Roman"/>
          <w:sz w:val="28"/>
          <w:szCs w:val="28"/>
        </w:rPr>
        <w:t>693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    </w:t>
      </w:r>
      <w:r w:rsidR="00020315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A0A" w:rsidRDefault="00661889" w:rsidP="005F5A0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="005F5A0A"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Плана</w:t>
      </w:r>
      <w:r w:rsid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5A0A"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</w:t>
      </w:r>
    </w:p>
    <w:p w:rsidR="005F5A0A" w:rsidRDefault="005F5A0A" w:rsidP="005F5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реализации стратегии </w:t>
      </w:r>
      <w:proofErr w:type="gramStart"/>
      <w:r w:rsidRPr="005F5A0A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</w:t>
      </w:r>
      <w:proofErr w:type="gramEnd"/>
    </w:p>
    <w:p w:rsidR="005F5A0A" w:rsidRDefault="005F5A0A" w:rsidP="005F5A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sz w:val="28"/>
          <w:szCs w:val="28"/>
        </w:rPr>
        <w:t>развития муниципального образования Соль-</w:t>
      </w:r>
      <w:proofErr w:type="spellStart"/>
      <w:r w:rsidRPr="005F5A0A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5F5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1889" w:rsidRPr="005F5A0A" w:rsidRDefault="005F5A0A" w:rsidP="005F5A0A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F5A0A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5A0A">
        <w:rPr>
          <w:rFonts w:ascii="Times New Roman" w:hAnsi="Times New Roman" w:cs="Times New Roman"/>
          <w:b w:val="0"/>
          <w:sz w:val="28"/>
          <w:szCs w:val="28"/>
        </w:rPr>
        <w:t>до 2030 года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A91C37" w:rsidP="005F5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89"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="005F5A0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2014 года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172-ФЗ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</w:t>
      </w:r>
      <w:proofErr w:type="gramStart"/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реализации </w:t>
      </w:r>
      <w:hyperlink r:id="rId8" w:history="1">
        <w:r w:rsidR="005F5A0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</w:t>
      </w:r>
      <w:proofErr w:type="gramEnd"/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</w:t>
      </w:r>
      <w:proofErr w:type="spellStart"/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5F5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5F5A0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</w:t>
      </w:r>
      <w:r w:rsidR="00661889" w:rsidRPr="0066188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91C37" w:rsidRPr="00797004" w:rsidRDefault="00A91C37" w:rsidP="00A91C3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889" w:rsidRPr="006618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реализации </w:t>
      </w:r>
      <w:hyperlink r:id="rId9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2030 года (далее - план)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661889" w:rsidRPr="00661889" w:rsidRDefault="00661889" w:rsidP="00661889">
      <w:pPr>
        <w:pStyle w:val="a5"/>
        <w:tabs>
          <w:tab w:val="left" w:pos="284"/>
          <w:tab w:val="left" w:pos="567"/>
          <w:tab w:val="left" w:pos="709"/>
          <w:tab w:val="left" w:pos="993"/>
          <w:tab w:val="left" w:pos="808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188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исполняющего обязанности заместителя главы администрации муниципального образования Соль-</w:t>
      </w:r>
      <w:proofErr w:type="spellStart"/>
      <w:r w:rsidRPr="00661889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по экономике, бюджетным отношениям и инвестиционной политике </w:t>
      </w:r>
      <w:proofErr w:type="spellStart"/>
      <w:r w:rsidRPr="00661889">
        <w:rPr>
          <w:rFonts w:ascii="Times New Roman" w:hAnsi="Times New Roman" w:cs="Times New Roman"/>
          <w:sz w:val="28"/>
          <w:szCs w:val="28"/>
          <w:lang w:val="ru-RU"/>
        </w:rPr>
        <w:t>Сахацкого</w:t>
      </w:r>
      <w:proofErr w:type="spellEnd"/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Н.Н.</w:t>
      </w:r>
    </w:p>
    <w:p w:rsidR="00661889" w:rsidRPr="00661889" w:rsidRDefault="00661889" w:rsidP="00661889">
      <w:pPr>
        <w:pStyle w:val="a5"/>
        <w:tabs>
          <w:tab w:val="left" w:pos="567"/>
          <w:tab w:val="left" w:pos="709"/>
          <w:tab w:val="left" w:pos="851"/>
          <w:tab w:val="left" w:pos="1134"/>
          <w:tab w:val="left" w:pos="1276"/>
          <w:tab w:val="left" w:pos="808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916B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. Постановление вступает в силу </w:t>
      </w:r>
      <w:r w:rsidR="002450F6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1C37">
        <w:rPr>
          <w:rFonts w:ascii="Times New Roman" w:hAnsi="Times New Roman" w:cs="Times New Roman"/>
          <w:sz w:val="28"/>
          <w:szCs w:val="28"/>
          <w:lang w:val="ru-RU"/>
        </w:rPr>
        <w:t>его официального опубликования (обнародования)</w:t>
      </w:r>
      <w:r w:rsidRPr="006618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38" w:rsidRDefault="00A92038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6188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61889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А.А. Кузьмин</w:t>
      </w:r>
    </w:p>
    <w:p w:rsidR="00661889" w:rsidRPr="00661889" w:rsidRDefault="00661889" w:rsidP="00661889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0F6" w:rsidRDefault="007E2D4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7E2D46" w:rsidRDefault="007E2D4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        Е.В. Телушкина</w:t>
      </w:r>
    </w:p>
    <w:p w:rsidR="002450F6" w:rsidRDefault="002450F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2450F6" w:rsidRDefault="002450F6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B05CA2" w:rsidRDefault="00B05CA2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A92038" w:rsidRDefault="00A92038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D916B5" w:rsidRDefault="00D916B5" w:rsidP="00661889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797004" w:rsidRDefault="00661889" w:rsidP="00D916B5">
      <w:pPr>
        <w:pStyle w:val="a7"/>
        <w:tabs>
          <w:tab w:val="left" w:pos="8080"/>
        </w:tabs>
        <w:ind w:firstLine="0"/>
        <w:rPr>
          <w:bCs/>
        </w:rPr>
      </w:pPr>
      <w:r w:rsidRPr="00661889">
        <w:rPr>
          <w:color w:val="auto"/>
          <w:sz w:val="24"/>
          <w:szCs w:val="24"/>
        </w:rPr>
        <w:t>Разослано: в прокуратуру, структурным подразделениям администрации Соль-</w:t>
      </w:r>
      <w:proofErr w:type="spellStart"/>
      <w:r w:rsidRPr="00661889">
        <w:rPr>
          <w:color w:val="auto"/>
          <w:sz w:val="24"/>
          <w:szCs w:val="24"/>
        </w:rPr>
        <w:t>Илецкого</w:t>
      </w:r>
      <w:proofErr w:type="spellEnd"/>
      <w:r w:rsidRPr="00661889">
        <w:rPr>
          <w:color w:val="auto"/>
          <w:sz w:val="24"/>
          <w:szCs w:val="24"/>
        </w:rPr>
        <w:t xml:space="preserve"> городского округа  </w:t>
      </w:r>
      <w:bookmarkStart w:id="1" w:name="P44"/>
      <w:bookmarkEnd w:id="1"/>
      <w:r w:rsidR="00EF521A" w:rsidRPr="00797004">
        <w:rPr>
          <w:bCs/>
        </w:rPr>
        <w:t xml:space="preserve">                                                               </w:t>
      </w:r>
      <w:r w:rsidR="00797004" w:rsidRPr="00797004">
        <w:rPr>
          <w:bCs/>
        </w:rPr>
        <w:t xml:space="preserve">                     </w:t>
      </w:r>
    </w:p>
    <w:p w:rsidR="00540369" w:rsidRPr="00797004" w:rsidRDefault="00797004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Приложение к постановлению </w:t>
      </w:r>
    </w:p>
    <w:p w:rsidR="00540369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EF521A" w:rsidRPr="0079700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0369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 xml:space="preserve"> образования Соль-</w:t>
      </w:r>
      <w:proofErr w:type="spellStart"/>
      <w:r w:rsidR="00EF521A" w:rsidRPr="00797004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521A" w:rsidRPr="00797004" w:rsidRDefault="00540369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EF521A" w:rsidRPr="00797004">
        <w:rPr>
          <w:rFonts w:ascii="Times New Roman" w:hAnsi="Times New Roman" w:cs="Times New Roman"/>
          <w:bCs/>
          <w:sz w:val="28"/>
          <w:szCs w:val="28"/>
        </w:rPr>
        <w:t>городской округ</w:t>
      </w: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540369" w:rsidRPr="007970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5A25AA">
        <w:rPr>
          <w:rFonts w:ascii="Times New Roman" w:hAnsi="Times New Roman" w:cs="Times New Roman"/>
          <w:bCs/>
          <w:sz w:val="28"/>
          <w:szCs w:val="28"/>
        </w:rPr>
        <w:t>13.03.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2017  №</w:t>
      </w:r>
      <w:r w:rsidR="005A25AA">
        <w:rPr>
          <w:rFonts w:ascii="Times New Roman" w:hAnsi="Times New Roman" w:cs="Times New Roman"/>
          <w:bCs/>
          <w:sz w:val="28"/>
          <w:szCs w:val="28"/>
        </w:rPr>
        <w:t>693-п</w:t>
      </w: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F521A" w:rsidRPr="00797004" w:rsidRDefault="00EF521A" w:rsidP="006D56A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0B2C" w:rsidRPr="006C296B" w:rsidRDefault="00E40B2C" w:rsidP="006D56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C29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</w:t>
      </w:r>
    </w:p>
    <w:p w:rsidR="007C3179" w:rsidRPr="006C296B" w:rsidRDefault="00E40B2C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реализации стратегии </w:t>
      </w:r>
      <w:r w:rsidR="007C3179" w:rsidRPr="006C296B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</w:t>
      </w:r>
      <w:proofErr w:type="spellStart"/>
      <w:r w:rsidR="007C3179" w:rsidRPr="006C296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C3179" w:rsidRPr="006C296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40B2C" w:rsidRPr="00CB4236" w:rsidRDefault="007C3179" w:rsidP="006D5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96B">
        <w:rPr>
          <w:rFonts w:ascii="Times New Roman" w:hAnsi="Times New Roman" w:cs="Times New Roman"/>
          <w:b w:val="0"/>
          <w:sz w:val="28"/>
          <w:szCs w:val="28"/>
        </w:rPr>
        <w:t>до 2030 года</w:t>
      </w:r>
    </w:p>
    <w:p w:rsidR="007C3179" w:rsidRPr="00CB4236" w:rsidRDefault="007C3179" w:rsidP="006D56A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086845" w:rsidP="006D56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15C6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по реализации </w:t>
      </w:r>
      <w:hyperlink r:id="rId10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</w:t>
      </w:r>
      <w:proofErr w:type="spellStart"/>
      <w:r w:rsidRPr="0079700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план мероприятий) разработан в соответствии с Федеральным </w:t>
      </w:r>
      <w:hyperlink r:id="rId11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2014 года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172-ФЗ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основе положений </w:t>
      </w:r>
      <w:hyperlink r:id="rId12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</w:t>
      </w:r>
      <w:proofErr w:type="spellStart"/>
      <w:r w:rsidRPr="0079700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стратегия).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предусматривает действия органов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</w:t>
      </w:r>
      <w:r w:rsidR="00F37CFE" w:rsidRPr="0079700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37CFE" w:rsidRPr="0079700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37CFE" w:rsidRPr="007970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каждом этапе реализации </w:t>
      </w:r>
      <w:hyperlink r:id="rId13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представляет собой документ стратегического планирования, содержащий стратегические цели и задачи социально-экономического развития </w:t>
      </w:r>
      <w:r w:rsidR="00F37CFE" w:rsidRPr="0079700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37CFE" w:rsidRPr="0079700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37CFE" w:rsidRPr="007970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показатели (целевые индикаторы) реализации </w:t>
      </w:r>
      <w:hyperlink r:id="rId1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комплекс мероприятий по реализации основных направлений </w:t>
      </w:r>
      <w:hyperlink r:id="rId15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перечень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</w:t>
      </w:r>
    </w:p>
    <w:p w:rsidR="00E40B2C" w:rsidRPr="00797004" w:rsidRDefault="00E40B2C" w:rsidP="006D56A2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мероприятий является основанием для формирования перечня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(подпрограмм) </w:t>
      </w:r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F37CFE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II. Цели и задачи социально-экономического развития</w:t>
      </w:r>
    </w:p>
    <w:p w:rsidR="00E40B2C" w:rsidRPr="00797004" w:rsidRDefault="00327BCA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, приоритетные</w:t>
      </w:r>
      <w:proofErr w:type="gramEnd"/>
    </w:p>
    <w:p w:rsidR="00E40B2C" w:rsidRPr="00797004" w:rsidRDefault="00E40B2C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каждого этапа реализации стратегии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1E350A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принята постановлением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Соль-</w:t>
      </w:r>
      <w:proofErr w:type="spellStart"/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17.10.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№3112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</w:t>
      </w:r>
      <w:hyperlink r:id="rId17" w:history="1">
        <w:r w:rsidR="00327BCA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BCA"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</w:t>
      </w:r>
      <w:proofErr w:type="spellStart"/>
      <w:r w:rsidR="00327BCA" w:rsidRPr="0079700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27BCA"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  <w:r w:rsidR="00327BCA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выделены </w:t>
      </w:r>
      <w:r w:rsidR="005C78A3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пятилетних этапа ее реализации.</w:t>
      </w:r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2038">
        <w:rPr>
          <w:rFonts w:ascii="Times New Roman" w:hAnsi="Times New Roman" w:cs="Times New Roman"/>
          <w:bCs/>
          <w:sz w:val="28"/>
          <w:szCs w:val="28"/>
        </w:rPr>
        <w:t>I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(2016–2020 годы): целью данного этапа является  формирование условий для обеспечения устойчивого развития (стратегическая готовность) и модернизация производственных процессов: реализация конкурентных преимуществ в традиционных отраслях экономики, диверсификация экономики, формирование качественного кадрового потенциала, создание благоприятного инвестиционного климата, привлечение инвестиций и реализация крупных инвестиционных проектов, апробация новых механизмов инвестирования на основе реализации пилотных проектов, создание инновационной инфраструктуры, институциональные преобразования, повышение эффективности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управления, открытости власти, создание широкого предпринимательского сегмента, развитие промышленного производства, АПК, создание туристического кластера, создание логистических центров и развитие транспортной инфраструктуры; повышение конкурентоспособности продукции производимой в </w:t>
      </w:r>
      <w:r w:rsidRPr="0079700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и позиционирование ее на внутренних и внешних рынках, создание запоминающихся брендов, повышение качества жизни и уровня благоустройства территорий, внедрение новых современных ресурсосберегающих технологий. </w:t>
      </w:r>
      <w:proofErr w:type="gramEnd"/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2038">
        <w:rPr>
          <w:rFonts w:ascii="Times New Roman" w:hAnsi="Times New Roman" w:cs="Times New Roman"/>
          <w:bCs/>
          <w:sz w:val="28"/>
          <w:szCs w:val="28"/>
        </w:rPr>
        <w:t>II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(2021–2025 годы): целью данного этапа является  инновационное развитие и формирование постиндустриальных секторов экономики: структурная диверсификация экономики и появление новых постиндустриальных сегментов, переход на новую технологическую базу (информационные, биотехнологии), масштабное привлечение инвестиций в сферу инноваций, завершение формирования промышленного, агропромышленного и туристического кластеров, интеграция предприятий реального и инновационного секторов, формирование центров инновационного развития, улучшение качества социальной среды, значительное повышение эффективности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использования всех видов ресурсов и в особенности трудового потенциала территории.</w:t>
      </w:r>
    </w:p>
    <w:p w:rsidR="005C78A3" w:rsidRPr="00797004" w:rsidRDefault="005C78A3" w:rsidP="006D56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03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92038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(2026–2030 годы): целью этапа является достижение нового качества жизни населения: формирование на основе территориально-производственных кластеров базиса экономического и социального развития муниципального образования, достижение уровня и качества жизни населения, соизмеримого с уровнем развитых зарубежных стран, обеспечение высокого уровня устойчивости экономики.</w:t>
      </w:r>
    </w:p>
    <w:p w:rsidR="006D56A2" w:rsidRDefault="006D56A2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Целевые ориентиры развития </w:t>
      </w:r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2C7AF2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</w:p>
    <w:p w:rsidR="00E40B2C" w:rsidRPr="00797004" w:rsidRDefault="00E40B2C" w:rsidP="006D56A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на среднесрочный период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323" w:rsidRPr="00797004" w:rsidRDefault="003D6E7A" w:rsidP="006D56A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8" w:firstLine="52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7970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 w:rsidR="00D62323" w:rsidRPr="0079700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Основная </w:t>
      </w:r>
      <w:r w:rsidR="00D62323" w:rsidRPr="00797004">
        <w:rPr>
          <w:rFonts w:ascii="Times New Roman" w:eastAsia="Times New Roman" w:hAnsi="Times New Roman" w:cs="Times New Roman"/>
          <w:spacing w:val="1"/>
          <w:sz w:val="28"/>
          <w:szCs w:val="28"/>
        </w:rPr>
        <w:t>цель развития муниципального образования Соль-</w:t>
      </w:r>
      <w:proofErr w:type="spellStart"/>
      <w:r w:rsidR="00D62323" w:rsidRPr="00797004">
        <w:rPr>
          <w:rFonts w:ascii="Times New Roman" w:eastAsia="Times New Roman" w:hAnsi="Times New Roman" w:cs="Times New Roman"/>
          <w:spacing w:val="1"/>
          <w:sz w:val="28"/>
          <w:szCs w:val="28"/>
        </w:rPr>
        <w:t>Илецкий</w:t>
      </w:r>
      <w:proofErr w:type="spellEnd"/>
      <w:r w:rsidR="00D62323" w:rsidRPr="007970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городской округ </w:t>
      </w:r>
      <w:r w:rsidR="00D62323" w:rsidRPr="007970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2323" w:rsidRPr="0079700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оздание благоприятных условий для гармоничного развития </w:t>
      </w:r>
      <w:r w:rsidR="00D62323" w:rsidRPr="0079700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="00D62323" w:rsidRPr="0079700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достойной жизни нынешнего и будущих поколений.</w:t>
      </w:r>
    </w:p>
    <w:p w:rsidR="003D6E7A" w:rsidRPr="00797004" w:rsidRDefault="00E40B2C" w:rsidP="006D5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требуется реализация следующих задач</w:t>
      </w:r>
      <w:r w:rsidR="003D6E7A" w:rsidRPr="00797004">
        <w:rPr>
          <w:rFonts w:ascii="Times New Roman" w:hAnsi="Times New Roman" w:cs="Times New Roman"/>
          <w:sz w:val="28"/>
          <w:szCs w:val="28"/>
        </w:rPr>
        <w:t>: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Создание и развитие современного пользующегося популярностью внутри страны и за рубежом туристического кластера на основе имеющегося лечебно-оздоровительного и культурно-исторического потенциала.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Создание агропромышленного кластера с целью производства и переработки конкурентоспособной продукции сельского хозяйства и замещения импортной продукции.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Модернизация и развитие перерабатывающей промышленности на основе имеющегося потенциала, неиспользуемых мощностей с целью реализации программ по 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импортозамещению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>, диверсификации экономики.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Создание стабильно развивающегося многочисленного предпринимательского сектора.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Повышение качества жизни в муниципальном образовании, благоустройства территории, решение жилищного вопроса с целью привлечения высококвалифицированных кадров и контроля миграционных потоков.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>Улучшение инвестиционного климата, повышение привлекательности муниципального образования для внешних и внутренних инвесторов с целью реализации крупных экономически эффективных и социальных проектов.</w:t>
      </w:r>
    </w:p>
    <w:p w:rsidR="003D6E7A" w:rsidRPr="00797004" w:rsidRDefault="003D6E7A" w:rsidP="006D56A2">
      <w:pPr>
        <w:pStyle w:val="a5"/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открытости муниципальных органов власти, реализация инвестиционных проектов в форме 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 - частного партнерства.   </w:t>
      </w:r>
    </w:p>
    <w:p w:rsidR="00E40B2C" w:rsidRPr="00797004" w:rsidRDefault="00491C29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</w:t>
      </w:r>
      <w:hyperlink w:anchor="P202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индикаторы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(показатели) реализации плана мероприятий, сформированные с учетом показателей </w:t>
      </w:r>
      <w:hyperlink r:id="rId19" w:history="1">
        <w:r w:rsidR="00E40B2C"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представлены в приложении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1 к плану мероприятий.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782771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40B2C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Комплекс мероприятий по реализации стратегии </w:t>
      </w:r>
      <w:r w:rsidRPr="0079700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Соль-</w:t>
      </w:r>
      <w:proofErr w:type="spellStart"/>
      <w:r w:rsidRPr="0079700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главной цели, приоритетных задач и целевых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показателей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предполагается за счет реализации органами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</w:t>
      </w:r>
      <w:hyperlink w:anchor="P804" w:history="1">
        <w:r w:rsidRPr="007970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</w:t>
        </w:r>
      </w:hyperlink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направленных на социально-экономическое развитие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установленных полномочий (приложение </w:t>
      </w:r>
      <w:r w:rsidR="00782771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2 к плану мероприятий).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V. Механизм реализации плана мероприятий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Достижение поставленных стратегических целей во многом будет определяться способностью органов власти выработать эффективный механизм реализации Стратегии, предусматривающий комплекс мер правового, экономического и организационного характера, обеспечивающий «баланс интересов» и скоординированные действия всех участников.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Необходимо обеспечить интеграцию оперативного и стратегического управления в единую систему, элементами которой выступают: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целеполагание  (долгосрочная стратегия развития муниципального образования, схема территориального планирования);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планирование измеримых результатов  (среднесрочная программа развития муниципального образования на пять лет в соответствии с этапами реализации Стратегии, прогноз социально-экономического развития, </w:t>
      </w:r>
      <w:r w:rsidR="00C7548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муниципальные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бюджетирование,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ориентированное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результат (бюджет на очередной год и плановый период, доклады о результатах и основных направлениях деятельности главных распорядителей бюджетных средств);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мониторинг, оценка эффективности деятельности органов власти,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контроль за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реализацией Стратегии.</w:t>
      </w:r>
    </w:p>
    <w:p w:rsidR="001658A6" w:rsidRPr="00797004" w:rsidRDefault="001658A6" w:rsidP="006D56A2">
      <w:pPr>
        <w:pStyle w:val="a5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Основным элементом механизма реализации Стратегии является программно-целевое планирование. </w:t>
      </w:r>
      <w:r w:rsidR="0018572A" w:rsidRPr="0079700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97004">
        <w:rPr>
          <w:rFonts w:ascii="Times New Roman" w:hAnsi="Times New Roman" w:cs="Times New Roman"/>
          <w:sz w:val="28"/>
          <w:szCs w:val="28"/>
          <w:lang w:val="ru-RU"/>
        </w:rPr>
        <w:t>униципальные программы должны быть разработаны в соответствии с приоритетными направлениями развития муниципального образования Соль-</w:t>
      </w:r>
      <w:proofErr w:type="spellStart"/>
      <w:r w:rsidRPr="00797004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</w:t>
      </w:r>
      <w:r w:rsidR="00E5586B" w:rsidRPr="0079700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97004">
        <w:rPr>
          <w:rFonts w:ascii="Times New Roman" w:hAnsi="Times New Roman" w:cs="Times New Roman"/>
          <w:sz w:val="28"/>
          <w:szCs w:val="28"/>
          <w:lang w:val="ru-RU"/>
        </w:rPr>
        <w:t xml:space="preserve">уг, закрепленными в Стратегии, и синхронизированы со стратегией развития области и федеральными инициативами. Муниципальные программы призваны конкретизировать реализацию мероприятий по достижению приоритетных целей, закрепленных в Стратегии, обеспечить согласование расходов по программам с бюджетом. </w:t>
      </w:r>
    </w:p>
    <w:p w:rsidR="001658A6" w:rsidRPr="00797004" w:rsidRDefault="001658A6" w:rsidP="006D56A2">
      <w:pPr>
        <w:pStyle w:val="a5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797004">
        <w:rPr>
          <w:rFonts w:ascii="Times New Roman" w:hAnsi="Times New Roman" w:cs="Times New Roman"/>
          <w:sz w:val="28"/>
          <w:szCs w:val="28"/>
          <w:lang w:val="ru-RU"/>
        </w:rPr>
        <w:t>Таким образом, о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сновным элементом реализации Стратегии является программа (план действий) на среднесрочный период, в которой формируется перечень проектных направлений по ее реализации.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программе предусматриваются приоритетные проекты социально-экономического развития, в том числе конкретные объекты и мероприятия, реализуемые в рамках федеральных и региональных программ, национальных проектов, в которых указываются объемы и источники их финансирования, ответственные исполнители мероприятий, сроки исполнения и механизмы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контроля за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их исполнением.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Стратегии требуется эффективное взаимодействие с институтами и инструментами развития. Данные инструменты определены в Стратегии развития Оренбургской области и могут использоваться в рамках социально-экономического развития </w:t>
      </w:r>
      <w:r w:rsidRPr="007970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97004">
        <w:rPr>
          <w:rFonts w:ascii="Times New Roman" w:hAnsi="Times New Roman" w:cs="Times New Roman"/>
          <w:bCs/>
          <w:sz w:val="28"/>
          <w:szCs w:val="28"/>
        </w:rPr>
        <w:t xml:space="preserve"> Соль-</w:t>
      </w:r>
      <w:proofErr w:type="spellStart"/>
      <w:r w:rsidRPr="00797004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 городской округ.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Институты развития подразделяются: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международные организации: Группа Всемирного банка, Многостороннее агентство по гарантии (гарантиям) инвестиций, Европейский банк реконструкции и развития, иностранные торгово-промышленные палаты, Продовольственная и сельскохозяйственная организация Объединенных Наций, Азиатский банк развития, Исламский банк развития. 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федеральные институты развития (Государственная корпорация </w:t>
      </w:r>
      <w:r w:rsidR="0018572A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Банк развития и внешнеэкономической деятельности</w:t>
      </w:r>
      <w:r w:rsidR="0018572A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>, Инвестиционный фонд Российской Федерации, ОАО «Российский сельскохозяйственный банк», ОАО «Российский инвестиционный фонд информационно-коммуникационных технологий», «Фонд содействия реформированию жилищно-коммунального хозяйства», Торгово-промышленные палаты и другие) и инструменты развития (федеральные программы, национальные проекты и т.д.).</w:t>
      </w:r>
    </w:p>
    <w:p w:rsidR="001658A6" w:rsidRPr="00797004" w:rsidRDefault="001658A6" w:rsidP="006D56A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региональные институты и инструменты развития: </w:t>
      </w:r>
      <w:r w:rsidR="0021245B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государственные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программы.</w:t>
      </w:r>
    </w:p>
    <w:p w:rsidR="001658A6" w:rsidRPr="00797004" w:rsidRDefault="001658A6" w:rsidP="006D56A2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Элементом реализации Стратегии является обязательное законодательное закрепление всех выполняемых преобразований, направленных на развитие промышленности, </w:t>
      </w:r>
      <w:r w:rsidR="0052182C" w:rsidRPr="00797004">
        <w:rPr>
          <w:rFonts w:ascii="Times New Roman" w:hAnsi="Times New Roman" w:cs="Times New Roman"/>
          <w:bCs/>
          <w:sz w:val="28"/>
          <w:szCs w:val="28"/>
          <w:lang w:val="ru-RU"/>
        </w:rPr>
        <w:t>агропромышленного комплекса</w:t>
      </w:r>
      <w:r w:rsidRPr="007970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предпринимательского сектора, инвестиций и т.д.  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>По каждому направлению стратегического развития назначается ответственный, отвечающий за выполнение мероприятий и результаты реализации Стратегии. Организационные механизмы реализации Стратегии предусматривают проведение органами власти ежегодного мониторинга хода реализации Стратегии, выполнение утвержденных индикаторов и контрольных показателей, информирование населения о достигнутых результатах.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004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Стратегии важным является реализация </w:t>
      </w: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>мер повышения эффективности системы управления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 xml:space="preserve">. Для этого реализуется административная реформа, программно-целевое управление и бюджетирование. </w:t>
      </w:r>
    </w:p>
    <w:p w:rsidR="001658A6" w:rsidRPr="00797004" w:rsidRDefault="001658A6" w:rsidP="006D56A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004">
        <w:rPr>
          <w:rFonts w:ascii="Times New Roman" w:hAnsi="Times New Roman" w:cs="Times New Roman"/>
          <w:bCs/>
          <w:sz w:val="28"/>
          <w:szCs w:val="28"/>
        </w:rPr>
        <w:t>В целях повышения качества управления предполагается проведение оптимизации функций органов местной власти, совершенствование структуры органов власти, оценка эффективности деятельности, внедрение систем стандартизации, повышение открытости власти,  разработка проектов и внедрение мер по антикоррупционной политики в структурах власти, разработка и реализация мероприятий по созданию и внедрению в практику государственного частного партнерства, обеспечение реформирования, направленного на повышение эффективности системы закупок для государственных нужд</w:t>
      </w:r>
      <w:proofErr w:type="gramEnd"/>
      <w:r w:rsidRPr="00797004">
        <w:rPr>
          <w:rFonts w:ascii="Times New Roman" w:hAnsi="Times New Roman" w:cs="Times New Roman"/>
          <w:bCs/>
          <w:sz w:val="28"/>
          <w:szCs w:val="28"/>
        </w:rPr>
        <w:t>; обеспечение эффективного взаимодействия органов власти с населением, предприятиями, общественными организациями.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VI. Организация мониторинга реализации плана мероприятий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реализации плана мероприятий (далее - мониторинг) и координация действий его исполнителей осуществля</w:t>
      </w:r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структурным подразделением  администрации муниципального образования Соль-</w:t>
      </w:r>
      <w:proofErr w:type="spellStart"/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0F3868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 будут осуществляться: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сбор и обработка информации о реализации плана мероприятий, включая инвестиционные проекты;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степени достижения целевых показателей, установленных планом мероприятий;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основных тенденций и проблем социально-экономического развития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Соль-</w:t>
      </w:r>
      <w:proofErr w:type="spellStart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возникающих в период реализации плана мероприятий.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будет основываться на результатах реализации соответствующих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а также сводном годовом докладе о ходе реализации и об оценке эффективности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программ. На основании мониторинга возможна корректировка мероприятий плана, направленная на изменение состава мероприятий, сроков их реализации.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 исполнители плана мероприятий осуществляют текущий </w:t>
      </w:r>
      <w:proofErr w:type="gramStart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ходом его реализации в соответствующей сфере деятельности и представляют </w:t>
      </w:r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структурному подразделению администрации муниципального образования Соль-</w:t>
      </w:r>
      <w:proofErr w:type="spellStart"/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4C2460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его реализации.</w:t>
      </w:r>
    </w:p>
    <w:p w:rsidR="00E40B2C" w:rsidRPr="00797004" w:rsidRDefault="00E40B2C" w:rsidP="006D56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 администрации муниципального образования Соль-</w:t>
      </w:r>
      <w:proofErr w:type="spellStart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сбор и обработку представленной информации, проводит анализ реализации плана мероприятий и достижения установленных им целевых показателей. В случае необходимости на основании представленной </w:t>
      </w:r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структурными подразделениями администрации муниципального образования Соль-</w:t>
      </w:r>
      <w:proofErr w:type="spellStart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CF5247"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Pr="00797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готовит предложения по корректировке мероприятий и показателей плана мероприятий.</w:t>
      </w: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2C" w:rsidRPr="00797004" w:rsidRDefault="00E40B2C" w:rsidP="006D56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0B2C" w:rsidRPr="00797004" w:rsidSect="0066188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40B2C" w:rsidRPr="00B41CF6" w:rsidRDefault="00D35909" w:rsidP="006D56A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к плану мероприятий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>по реализации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2C"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</w:t>
      </w:r>
      <w:r w:rsidR="0021245B" w:rsidRPr="00B41CF6">
        <w:rPr>
          <w:rFonts w:ascii="Times New Roman" w:hAnsi="Times New Roman" w:cs="Times New Roman"/>
          <w:sz w:val="28"/>
          <w:szCs w:val="28"/>
        </w:rPr>
        <w:t xml:space="preserve">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977443" w:rsidRPr="00B41CF6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35909" w:rsidRPr="00B41C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</w:t>
      </w:r>
    </w:p>
    <w:p w:rsidR="00E40B2C" w:rsidRPr="00797004" w:rsidRDefault="00977443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1245B" w:rsidRPr="00B41CF6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        Соль-</w:t>
      </w:r>
      <w:proofErr w:type="spellStart"/>
      <w:r w:rsidRPr="00B41CF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41CF6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</w:p>
    <w:p w:rsidR="00E75A0D" w:rsidRPr="00797004" w:rsidRDefault="00E75A0D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443" w:rsidRPr="00B41CF6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202"/>
      <w:bookmarkEnd w:id="2"/>
      <w:r w:rsidRPr="00B41CF6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</w:p>
    <w:p w:rsidR="00977443" w:rsidRPr="00B41CF6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CF6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</w:t>
      </w:r>
      <w:r w:rsidRPr="00B41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1CF6">
        <w:rPr>
          <w:rFonts w:ascii="Times New Roman" w:hAnsi="Times New Roman" w:cs="Times New Roman"/>
          <w:bCs/>
          <w:sz w:val="28"/>
          <w:szCs w:val="28"/>
        </w:rPr>
        <w:t xml:space="preserve"> Соль-</w:t>
      </w:r>
      <w:proofErr w:type="spellStart"/>
      <w:r w:rsidRPr="00B41CF6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B41CF6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</w:p>
    <w:p w:rsidR="00977443" w:rsidRPr="00797004" w:rsidRDefault="00977443" w:rsidP="006D5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503"/>
        <w:gridCol w:w="1337"/>
        <w:gridCol w:w="1337"/>
        <w:gridCol w:w="1337"/>
        <w:gridCol w:w="1452"/>
        <w:gridCol w:w="1452"/>
        <w:gridCol w:w="1452"/>
        <w:gridCol w:w="1452"/>
        <w:gridCol w:w="1464"/>
      </w:tblGrid>
      <w:tr w:rsidR="00977443" w:rsidRPr="00B41CF6" w:rsidTr="00B05CA2">
        <w:trPr>
          <w:jc w:val="center"/>
        </w:trPr>
        <w:tc>
          <w:tcPr>
            <w:tcW w:w="1185" w:type="pct"/>
            <w:vMerge w:val="restar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Отчет 2014</w:t>
            </w:r>
          </w:p>
        </w:tc>
        <w:tc>
          <w:tcPr>
            <w:tcW w:w="3362" w:type="pct"/>
            <w:gridSpan w:val="7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Merge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vMerge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52,052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51,920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51,850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51,860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51,940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52,340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52,795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57,175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0,280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0,285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0,290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0,295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0,305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0,310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0,360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жизни, лет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трудоспособного населения, тыс. чел.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29,289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29,215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29,175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29,180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29,225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29,450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29,540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32,030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Номинальная заработная плата,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19586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20170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20780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21400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22050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22705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23390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36315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безработных, чел.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Жилищный фонд, тыс.кв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1118,5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1159,2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1201,4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1245,1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1290,3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1337,3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1385,9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1981,2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Жилая площадь на одного человека, кв.м.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Число ДОУ, ед. 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Число школ, ед.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ДОУ,  %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2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1" w:type="pct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11-х классов, чел.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регулярно занимающегося физкультурой и спортом, %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26,84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4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млн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3301,7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3466,8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3640,1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3822,1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4013,2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4213,9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4424,6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8304,7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642,7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674,8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708,6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744,0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781,2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43" w:rsidRPr="00B41CF6" w:rsidRDefault="00977443" w:rsidP="006D56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861,3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1616,6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Создание  благоприятного хозяйственного и инвестиционного климата для развития промышленных предприятий, малого бизнеса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 источников финансирования, млн. рублей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918,5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1138,2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1182,7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1206,4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1225,7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1356,4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  базы для обеспечения инвестиционной привлекательности городского округа и подержание ее в актуальном состоянии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Выделение новых целевых площадок под инвестиционные проекты, 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Наличие на сайте муниципального образования в сети Интернет раздела для инвесторов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(+,-)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создание перспективных промышленных </w:t>
            </w:r>
          </w:p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в действующих ценах каждого года,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1889,4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1965,4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2080,6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2197,6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2234,9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2279,6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2313,9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2411,1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18915,6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19785,7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21309,2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23077,8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24116,4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25659,8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26891,5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42700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8529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8629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8987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Всего продукции сельского хозяйства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4763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10796,1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Продукция животноводства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2187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3917,1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Продукция растениеводства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3446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6878,9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т.ч. бахчевые культуры млн. руб.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5110,3</w:t>
            </w:r>
          </w:p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 доля бахчевых культур в растениеводческой продукции %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52" w:type="pct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1" w:type="pct"/>
            <w:vAlign w:val="center"/>
          </w:tcPr>
          <w:p w:rsidR="00977443" w:rsidRPr="00B41CF6" w:rsidRDefault="00977443" w:rsidP="006D5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977443" w:rsidRPr="00B41CF6" w:rsidTr="00B05CA2">
        <w:trPr>
          <w:jc w:val="center"/>
        </w:trPr>
        <w:tc>
          <w:tcPr>
            <w:tcW w:w="5000" w:type="pct"/>
            <w:gridSpan w:val="9"/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бизнеса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бизнеса по состоянию на конец соответствующего года – всего,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малые и средние  предприятия  - юридические лица,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ед.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в малом и среднем бизнес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е–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 всего,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6075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6194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6331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6845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7435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малые предприятия  - юридические лица,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4244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с учетом  их работников, чел.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 в малом бизнесе, </w:t>
            </w:r>
          </w:p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</w:t>
            </w:r>
            <w:proofErr w:type="gramStart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Оборот предприятий малого  и среднего бизнеса (в действующих ценах каждого года), млн. руб.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4134,2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4320,3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4531,9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4758,5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4977,4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5092,5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5670,8</w:t>
            </w:r>
          </w:p>
        </w:tc>
      </w:tr>
      <w:tr w:rsidR="00977443" w:rsidRPr="00B41CF6" w:rsidTr="00B05CA2">
        <w:trPr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Доля налогов малого бизнеса в объеме собственных доходов, 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43" w:rsidRPr="00B41CF6" w:rsidRDefault="00977443" w:rsidP="006D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F6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</w:tbl>
    <w:p w:rsidR="00E40B2C" w:rsidRPr="00B41CF6" w:rsidRDefault="00E40B2C" w:rsidP="006D56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40B2C" w:rsidRPr="00B41CF6" w:rsidSect="00661889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A07EDF" w:rsidRPr="00B41CF6" w:rsidRDefault="00A07EDF" w:rsidP="006D56A2">
      <w:pPr>
        <w:pStyle w:val="ConsPlusNormal"/>
        <w:ind w:right="111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Приложение </w:t>
      </w:r>
      <w:r w:rsidR="006C29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к плану мероприятий по реализации стратегии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</w:t>
      </w:r>
      <w:r w:rsidRPr="00B41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07EDF" w:rsidRPr="00B41CF6" w:rsidRDefault="00A07EDF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F68EF">
        <w:rPr>
          <w:rFonts w:ascii="Times New Roman" w:hAnsi="Times New Roman" w:cs="Times New Roman"/>
          <w:sz w:val="28"/>
          <w:szCs w:val="28"/>
        </w:rPr>
        <w:t xml:space="preserve">   </w:t>
      </w:r>
      <w:r w:rsidRPr="00B41CF6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B41CF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41CF6">
        <w:rPr>
          <w:rFonts w:ascii="Times New Roman" w:hAnsi="Times New Roman" w:cs="Times New Roman"/>
          <w:sz w:val="28"/>
          <w:szCs w:val="28"/>
        </w:rPr>
        <w:t xml:space="preserve"> городской округ до 2030 года</w:t>
      </w:r>
    </w:p>
    <w:p w:rsidR="009901CA" w:rsidRPr="00B41CF6" w:rsidRDefault="009901CA" w:rsidP="006D5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B2C" w:rsidRPr="00B41CF6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EA1" w:rsidRPr="00B41CF6" w:rsidRDefault="00A07EDF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04"/>
      <w:bookmarkEnd w:id="3"/>
      <w:r w:rsidRPr="00B41CF6">
        <w:rPr>
          <w:rFonts w:ascii="Times New Roman" w:hAnsi="Times New Roman" w:cs="Times New Roman"/>
          <w:sz w:val="28"/>
          <w:szCs w:val="28"/>
        </w:rPr>
        <w:t>Система мероприятий,</w:t>
      </w:r>
    </w:p>
    <w:p w:rsidR="00A07EDF" w:rsidRPr="00B41CF6" w:rsidRDefault="00A07EDF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1CF6">
        <w:rPr>
          <w:rFonts w:ascii="Times New Roman" w:hAnsi="Times New Roman" w:cs="Times New Roman"/>
          <w:sz w:val="28"/>
          <w:szCs w:val="28"/>
        </w:rPr>
        <w:t>направленных на реализацию развития экономического потенциала муниципального образования Соль-</w:t>
      </w:r>
      <w:proofErr w:type="spellStart"/>
      <w:r w:rsidRPr="00B41CF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41CF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End"/>
    </w:p>
    <w:p w:rsidR="00F77EA1" w:rsidRPr="00B41CF6" w:rsidRDefault="00F77EA1" w:rsidP="006D5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7998"/>
        <w:gridCol w:w="13"/>
        <w:gridCol w:w="2173"/>
        <w:gridCol w:w="1460"/>
      </w:tblGrid>
      <w:tr w:rsidR="00A07EDF" w:rsidRPr="00B41CF6" w:rsidTr="00B05CA2">
        <w:trPr>
          <w:trHeight w:val="1215"/>
          <w:tblHeader/>
          <w:jc w:val="center"/>
        </w:trPr>
        <w:tc>
          <w:tcPr>
            <w:tcW w:w="2705" w:type="dxa"/>
            <w:vAlign w:val="center"/>
          </w:tcPr>
          <w:p w:rsidR="00A07EDF" w:rsidRPr="00CE7110" w:rsidRDefault="00A07EDF" w:rsidP="006D56A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комплекса мероприятий для реализации задачи</w:t>
            </w:r>
          </w:p>
        </w:tc>
        <w:tc>
          <w:tcPr>
            <w:tcW w:w="8423" w:type="dxa"/>
            <w:gridSpan w:val="2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на долгосрочную и среднесрочную перспективы</w:t>
            </w:r>
          </w:p>
        </w:tc>
        <w:tc>
          <w:tcPr>
            <w:tcW w:w="2173" w:type="dxa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Ответственные от органов местного самоуправления </w:t>
            </w:r>
          </w:p>
        </w:tc>
        <w:tc>
          <w:tcPr>
            <w:tcW w:w="1284" w:type="dxa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реализа-ции</w:t>
            </w:r>
            <w:proofErr w:type="spellEnd"/>
            <w:proofErr w:type="gram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мероприя-тий</w:t>
            </w:r>
            <w:proofErr w:type="spellEnd"/>
          </w:p>
        </w:tc>
      </w:tr>
      <w:tr w:rsidR="00A07EDF" w:rsidRPr="00B41CF6" w:rsidTr="00A92038">
        <w:trPr>
          <w:trHeight w:val="720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Создание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хозяйственного и инвестиционного климата для развития промышленных предприятий, сельского хозяйства, малого бизнеса</w:t>
            </w:r>
          </w:p>
        </w:tc>
      </w:tr>
      <w:tr w:rsidR="00A07EDF" w:rsidRPr="00B41CF6" w:rsidTr="00B05CA2">
        <w:trPr>
          <w:trHeight w:val="562"/>
          <w:jc w:val="center"/>
        </w:trPr>
        <w:tc>
          <w:tcPr>
            <w:tcW w:w="2705" w:type="dxa"/>
            <w:vMerge w:val="restart"/>
            <w:shd w:val="clear" w:color="auto" w:fill="FFFFFF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благоприятных условий и инвестиционного климата для развития экономики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деловых связей с организациями, способствующими развитию базовых отраслей экономики (ассоциация муниципальных образований области, торгово-промышленная палата, союз промышленников и предпринимателей и другие)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4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обмен опытом работы с муниципальными образованиями с высоким уровнем социально-экономического развития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конференциях, семинарах, форумах  по вопросам повышения инвестиционной привлекательности территорий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нормативно-правовой базы для обеспечения инвестиционной привлекательности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поддержание ее в актуальном состоянии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площадок под строительство новых производств, ведение общедоступного реестра реализуемых инвестиционных проектов и обустроенных инвестиционных площадок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точек роста экономики и социального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могут стать факторами привлечения инвесторов, разработка инвестиционного паспорта и поддержание его актуального состояния, разработка и распространение буклетов (на русском, казахском, английском и китайском языках), перечисляющих достоинства и инвестиционные возможности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генерального плана развития территорий, выделение участков земли под развитие инвестиционных проектов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различных мероприятиях, форумах, выставках, посвященных экономическому развитию и инвестиционному потенциалу области 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сети Интернет на сайте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на нескольких языках, ориентированной на информирование внешнего инвестора об инвестиционных возможностях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ключевых приоритетах и конкурентных преимуществах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инфраструктуры поддержки инвесторов, индустриальных парков,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бизнес-инкубаторов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всероссийских и международных выставках, тематических мероприятиях, позволяющих представить свой социально-экономический и инвестиционный потенциал, привлечь внешних инвесторов. 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4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Инвестиционной стратегии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536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по информационному продвижению товаров, работ, услуг предприятий, расположенных на территории МО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муниципальной инвестиционной политики и размещение Стратегии развития муниципального образования в сети Интернет 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2173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32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размещение в сети Интернет информационно-географической карты муниципального образования  и поддержание её в актуальном состоянии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сети Интернет о предприятиях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бизнес – предложениях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 сайте муниципального образования актуальных ссылок на другие сайты, способствующие привлечению инвесторов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средствах массовой информации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нормативных актов по созданию инвестиционной среды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разработке областных законов, касающихся развития муниципальных образований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брендовой продукции, ассоциирующейся с Соль-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городским округом (туризм: соленые озера, Соль-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Илецкие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арбузы)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содействия предприятиям по повышению конкурентоспособности их продукции, участию их на выставках, ярмарках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инвестиционной деятельности, привлечение инвестиций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инвестиционной деятельности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 созданной структурой органов муниципальной власти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обустроенных инвестиционных площадок, определение категории площадок по видам наиболее эффективного их использования, разработка и реализация мероприятий по обеспечению площадок, пригодных для вложения инвестиций, инженерными коммуникациями и объектами социальной инфраструктуры, внедрение на инвестиционных площадках современных ресурсосберегающих технологий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наиболее выгодных и устойчивых механизмов привлечения инвесторов в условиях внешней нестабильности, в том числе на основе проекторного финансирования и государственного частного партнерства,  развитие финансовой инфраструктуры привлечения инвестиций: страховых, кредитных компаний, гарантийных фондов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оказанию финансовой поддержки инвесторов: налоговые льготы, субсидии, гранты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информационного и правового характера инвесторов (оценка целевого рынка, рисков, возможностей, конкурентной среды, оформление документов, защита интересов предпринимателей)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намеченных инвестиционных проектов,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приоритетных проектов, раскрытие информации по выполненным проектам, не являющейся коммерческой тайной 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типовых инвестиционных проектов по наиболее приоритетным отраслям развития с целью организации занятости населения и привлечения инвесторов.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содействия активным действиям предприятий и иных лиц, являющихся инициатором проекта, в поиске и подборе инвесторов, участии их проектов на всероссийских и международных выставках, включении их в перечень приоритетных проектов и выделении бюджетных средств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комплексных инвестиционных проектов по созданию основных объектов проекта (жилая застройка, предприятие) и социальной инфраструктуры.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и непрерывное ведение баз данных по имеющимся нереализованным экономически выгодным инвестиционным проектам, невостребованному инвестиционному потенциалу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73" w:type="dxa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46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действующих и создание перспективных  производств</w:t>
            </w:r>
          </w:p>
        </w:tc>
      </w:tr>
      <w:tr w:rsidR="00A07EDF" w:rsidRPr="00B41CF6" w:rsidTr="00B05CA2">
        <w:trPr>
          <w:trHeight w:val="4669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действующих и создание  новых производств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Реализация имеющихся инвестиционных проектов: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- Строительство рекреационно-оздоровительного комплекса (РОК) «Солёные озёра»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центра культурного развития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Реконструкция парка им.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Административно-гостиничный комплекс при логистическом центре в г. Соль-Илецке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парка аттракционов на территории КМЗ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 солнечной электростанции (с. Тамар-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Установка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ветрогенераторов</w:t>
            </w:r>
            <w:proofErr w:type="spellEnd"/>
          </w:p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Комплексная застройка быстровозводимого жилья (с. Тамар-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Строительство аэронавигационной посадочной площадки (аэродрома) </w:t>
            </w:r>
            <w:r w:rsidR="00C67F1E"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="00C67F1E"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с. Тамар-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для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самолетов малой и средней авиации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Линия по комплексной переработке отходов (с.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Кумакское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биогазовых станций, пункта заправки автотранспорта (с. Тамар-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Уткуль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нового корпуса СОБВЛ (г. Соль-Илецк)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Поддержка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энергоэффективных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хозяйств, внедряющих нетрадиционные источники энергии, ресурсосберегающие технологии в целях снижения себестоимости продукции, повышения экологической безопасности.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программ, направленных на стимулирование создания кластеров промышленных предприятий, диверсификацию промышленного производства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Стимулирование создания, модернизации и технического перевооружения предприятий перерабатывающей отрасли. 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программ, направленных на повышение конкурентоспособности производимой продукции, ее выход на новые рынки сбыта внутри страны и странах ближнего и дальнего зарубежья, стимулирование развития и роста числа предприятий по производству конечного готового к использованию продукта, который может конкурировать с продуктами мировых производителей и быть поставлен на внутренний и внешний рынки.</w:t>
            </w:r>
            <w:proofErr w:type="gramEnd"/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Участие в реализации программ по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импортозамещению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продукции 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Стимулирование и предоставление практической помощи в обновлении основных фондов, модернизации производственных процессов, внедрении передовых технологий на основе субсидирования процентной ставки по кредиту, лизингу и т.д.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Диверсификация экономики с изменением структуры производимой продукции в сторону увеличения объема высокотехнологичной продукции с высокой добавленной стоимостью, развитие предприятий, способных воспринимать изменяющиеся внешние условия с наименьшими рисками.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программ по привлечению на рынок промышленного производства субъектов малого и среднего бизнеса, индивидуальных предпринимателей за счет предоставления льгот и проведения агитационно-обучающей работы, стимулирования их стабильной деятельности.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Разработка и реализация мероприятий, направленных на увеличение спроса на продукцию и стабилизацию ситуации на кредитном рынке для прироста объема промышленного производства.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63"/>
          <w:jc w:val="center"/>
        </w:trPr>
        <w:tc>
          <w:tcPr>
            <w:tcW w:w="2705" w:type="dxa"/>
            <w:vMerge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неиспользуемого производственного потенциала: неиспользованных земель промышленности, зданий и сооружений, закрытых, выбывших из производственного процесса  производственных помещений с целью вовлечения их в экономическую деятельность.</w:t>
            </w:r>
          </w:p>
        </w:tc>
        <w:tc>
          <w:tcPr>
            <w:tcW w:w="2173" w:type="dxa"/>
            <w:vMerge w:val="restart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повышение производительности труда за счет стимулирования работников к повышению объема производства, повышения заработной платы.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 w:themeFill="background1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 по созданию условий для тесного партнерства отраслей промышленности с креативной индустрией, создание </w:t>
            </w:r>
            <w:proofErr w:type="gram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бизнес-инкубаторов</w:t>
            </w:r>
            <w:proofErr w:type="gram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, маркетинговых и информационных систем продвижения товаров.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предприятиями экологического законодательства 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реестра инвестиционных площадок, пригодных для реализации  производственного потенциала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мероприятий по привлечению инвестиций в производственный сектор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туристического кластера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существующих инвестиционных проектов, направленных на развитие туристического кластера, в том числе на развитие инфраструктуры и инженерных коммуникаций.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инженерных коммуникаций, строительства новых, реконструкции и модернизации изношенных систем для обеспечения потребностей увеличивающегося притока туристов и возможности создать современные туристические объекты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создания на территории МО туристической инфраструктуры: магазины, гостиницы, предприятия общественного питания, бытового обслуживания, отвечающие всем требованиям современного туристического бизнеса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новых туристических маршрутов и направлений с целью разнообразия предоставления туристических услуг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программы, направленной на снижение воздействия на окружающую среду увеличивающегося туристического потока, отчистку  озер и прилегающей территории, обеспечение уборки территории и соответствие территории  санитарным нормам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мероприятий, направленных на повышение конкурентоспособности туристических услуг за счёт повышения качества туристической инфраструктуры и маркетингового продвижения туристического продукта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на территории МО важных спортивных и культурных мероприятий для повышения потока туристов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кадров по специальностям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туризм и гостиничный бизнес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субъектов малого и среднего бизнеса к развитию туристической инфраструктуры, предоставление льгот и поддержки органов власти субъектов, участвующих в развитии туристического кластера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инвестиций на рынок туристических услуг.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35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Развитие агропромышленного комплекса</w:t>
            </w: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агропромышленного комплекса</w:t>
            </w:r>
          </w:p>
        </w:tc>
        <w:tc>
          <w:tcPr>
            <w:tcW w:w="8423" w:type="dxa"/>
            <w:gridSpan w:val="2"/>
          </w:tcPr>
          <w:p w:rsidR="00A07EDF" w:rsidRPr="00CE7110" w:rsidRDefault="00A07EDF" w:rsidP="00CE7110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реализации государственных программ по развитию сельского хозяйства, разработка и реализации муниципальных программ, в том числе участие в программе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26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tabs>
                <w:tab w:val="left" w:pos="1545"/>
              </w:tabs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благоприятных условий для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продовольственной продукции, стимулирование и поддержка предприятий и организаций, выпускающих конкурентоспособную продукцию, востребованную на внутренних и внешних рынках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мер поддержки товаропроизводителей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агропромышленного комплекса (далее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АПК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выходу на новые рынки сбыта, участие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тематических выставках, ярмарках, форумах, позволяющих представить достоинства продукции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агропромышленного комплекса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органов власти и бизнеса по вопросам развития агропромышленного комплекса, в том числе в сфере маркетингового продвижения местной продукции на рынках области и соседних субъектов, заключение партнерских договоров по продаже продукции, произведенной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, в торговых сетях областного центра и области, а также организация оптовой торговли.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 по сокращению количества звеньев в цепочке товаропроизводитель – потребитель, создание благоприятных условий выхода на рынки сбыта, расширение каналов сбыта, контроль и регулирование деятельности перекупщиков для снижения спекулятивной составляющей торговой отрасли, создание логистических центров, сортировочных пунктов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новых и расширение имеющихся рынков сельскохозяйственной продукции, создание беспрепятственных благоприятных условий для реализации продукции собственного производства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субъектов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и областных программах поддержки сельскохозяйственного сектора, государственного </w:t>
            </w:r>
            <w:proofErr w:type="spellStart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агропромышленного комплекса (гранты, субсидии, льготы), предоставление консультативной и информационной поддержки, режима наибольшего благоприятствования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перерабатывающих произво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повышения конкурентоспособности продукции и реализации конечного продукта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создания агропромышленного кластера, развития сырьевой и откормочной базы перерабатывающими предприятиями, развития цехов по переработке продукции сельскохозяйственными производителями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программ, направленных на развитие сельских территорий, повышение уровня и качества жизни на селе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модернизации и обновления основных фондов, повышение технической оснащенности предприятий АПК через предоставление льгот и государственной поддержки по лизингу, целевым кредитам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квалифицированных кадров, 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агроинженеров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отрасль, развитие программ по целевому обучению кадров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снижение себестоимости продукции за счет внедрения ресурсосбережения, современных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инвестиций в сектор АПК за счет повышения инвестиционной привлекательности, развития и обустройства инвестиционных площадок, пригодных для реализации сельскохозяйственных проектов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представлений о необходимости страхования сельскохозяйственных рисков с целью покрытия возможных убытков, связанных с рыночными колебаниями и природно-климатическими воздействиями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внедрения современных инновационных технологий в агропромышленный комплекс.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неиспользованного сельскохозяйственного потенциала: пустующих земель сельскохозяйственного назначения и недействующих сельскохозяйственных предприятий, производственных мощностей  с целью вернуть их в экономическую деятельность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 ведения сельского хозяйства, внедрение ресурсосберегающих технологий и технологий по повышению плодородия земель, восстановление нарушенного почвенного покрова и рекультивация истощенных земель с целью повышения урожайности культур и валового сбора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Внедрение научных знаний в практику ведения сельского хозяйства, создание научно-исследовательских и опытных центров.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обеспечения хозяйств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 высокоурожайными засухоустойчивыми сортами культур, освоение технологии их возделывания с привлечением специалистов Оренбургского научно-исследовательского института сельского хозяйства, стимулирование приобретения элитных семян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программ, направленных на поддержание традиционных исторически сложившихся базисных отраслей сельского хозяйства: бахчеводство и овощеводство, проведение мероприятий по организации оптовой и розничной продажи бахчевых культур и овощей на рынках области и других регионов России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 по созданию и расширению действующих предприятий по переработке овощей и ягод (консервирование) с целью круглогодичной продажи продукции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развития племенного животноводческого хозяйства, повышение доли высокопродуктивного скота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 по поддержке товаропроизводителей и переработчиков продукции животноводства с целью уменьшения дисбаланса между ценой продажи и закупки мяса.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стимулированию создания убойных цехов и пунктов приема продукции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5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противоэпизоотических мероприятий с целью недопущения распространения эпидемий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63"/>
          <w:jc w:val="center"/>
        </w:trPr>
        <w:tc>
          <w:tcPr>
            <w:tcW w:w="1458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Развитие транспортной инфраструктуры </w:t>
            </w: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 w:val="restart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отрасли транспорта</w:t>
            </w: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 территории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современного логистического центра в целях создания на базе Соль-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современного крупного транспортно-логистического узла по распределению товаров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поддержки предприятиям – перевозчикам пассажиров с целью снижения себестоимости оказания услуг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программ, направленных на стимулирование обновления автобусного парка, своевременной замены изношенной техники с целью обеспечения безопасности и комфорта для пассажиров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предприятий бизнеса к вовлечению в развитие транспортной системы, в том числе в развитие транспортной инфраструктуры 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проектах по строительству дорог,  автомагистралей, трасс федерального и областного значения 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285"/>
          <w:jc w:val="center"/>
        </w:trPr>
        <w:tc>
          <w:tcPr>
            <w:tcW w:w="2705" w:type="dxa"/>
            <w:vMerge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10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инвестиций на основе современных методов, в том числе развитие </w:t>
            </w:r>
            <w:proofErr w:type="spellStart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-частного партнерства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496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Поддержка развития малого и среднего бизнеса</w:t>
            </w:r>
          </w:p>
        </w:tc>
      </w:tr>
      <w:tr w:rsidR="00A07EDF" w:rsidRPr="00B41CF6" w:rsidTr="00B05CA2">
        <w:trPr>
          <w:trHeight w:val="630"/>
          <w:jc w:val="center"/>
        </w:trPr>
        <w:tc>
          <w:tcPr>
            <w:tcW w:w="2705" w:type="dxa"/>
            <w:vMerge w:val="restart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в постоянном режиме информационной страницы на сайте муниципального образования о развитии предпринимательства и субъектов малого бизнеса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 инфраструктуры поддержки малого и среднего бизнеса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127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реализации государственной программы «Экономическое развитие Оренбургской области» на 2014-2015 годы и на перспективу до 2020 года, подпрограмма «Развитие малого и среднего предпринимательства» и муниципальной программы «Экономическое развитие Соль-</w:t>
            </w:r>
            <w:proofErr w:type="spellStart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перспективу до 2020 года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8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внешней среды для развития предпринимательства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84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доступа субъектов малого и среднего предпринимательства к финансовым ресурсам, развитие микрофинансирования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    </w:t>
            </w:r>
          </w:p>
        </w:tc>
        <w:tc>
          <w:tcPr>
            <w:tcW w:w="0" w:type="auto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7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муниципальному имуществу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и популяризация предпринимательской деятельности, создание положительного имиджа предпринимателя в сознании населения, формирование предпринимательской культуры</w:t>
            </w:r>
          </w:p>
        </w:tc>
        <w:tc>
          <w:tcPr>
            <w:tcW w:w="0" w:type="auto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предпринимательских объединений, коопераций с целью обмена информацией, опытом, комплексного решения проблем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успешного участия предпринимателей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программах поддержки предпринимательства, в получении грантов и иной государственной поддержки, оказание консультативной, юридической помощи, помощи в сборе документов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муниципальных конкурсов на звание лучшего предпринимателя по различным номинациям с целью создания условий состязательности, встреч представителей бизнеса различных отраслей и возникновения деловых связей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программ, направленных на организацию муниципального заказа продукции, производимой субъектами предпринимательской деятельности, как мера поддержки предпринимательства органами власти.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Вовлечение предпринимателей в реализацию приоритетных направлений развития </w:t>
            </w:r>
            <w:r w:rsidR="00C67F1E"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(далее МО)</w:t>
            </w: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в создание туристической инфраструктуры, модернизацию инженерных систем, развитие промышленного и агропромышленного потенциала 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программ, направленных на повышение конкурентоспособности предприятий малого, среднего бизнеса, индивидуальных предпринимательств, позволяющих предприятиям выходить на мировой рынок за счет внедрения современных технологий, контроля качества и стимулирования производителей к качественному производству продукции, соответствующей мировым стандартам без брака.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Проведение агитационных мероприятий, направленных на информирование населения о предоставляемых мерах поддержки, вовлечение незанятого населения в предпринимательский сектор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развитие потребительского сектора и стимулирование спроса у населения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административных барьеров, сокращение процедуры оформления документов за счет создания многофункциональных центров по принципу «одного окна»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33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Стимулирование создания инновационного бизнеса на основе научно-исследовательских и опытно-конструкторских работ.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502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энергосистемы МО для обеспечения устойчивого функционирования экономики</w:t>
            </w:r>
          </w:p>
        </w:tc>
      </w:tr>
      <w:tr w:rsidR="00A07EDF" w:rsidRPr="00B41CF6" w:rsidTr="00B05CA2">
        <w:trPr>
          <w:trHeight w:val="554"/>
          <w:jc w:val="center"/>
        </w:trPr>
        <w:tc>
          <w:tcPr>
            <w:tcW w:w="2705" w:type="dxa"/>
            <w:vMerge w:val="restart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надежности функционирования предприятий МО на основе развития тепл</w:t>
            </w:r>
            <w:proofErr w:type="gramStart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 электро- и газоснабжения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реконструкция электрических сетей, модернизация инженерных систем</w:t>
            </w:r>
          </w:p>
        </w:tc>
        <w:tc>
          <w:tcPr>
            <w:tcW w:w="2173" w:type="dxa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2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реконструкция газовых сетей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450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реконструкция систем теплоснабжения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инвестиционных площадок пригодными коммуникациями и инженерными системами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52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доходов и оптимизация расходов бюджета муниципального образования</w:t>
            </w: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Увеличение доходов и оптимизация расходов бюджета муниципального образования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доходной части бюджета за счет повышения эффективности работы предприятий, малого бизнеса и малых форм хозяйствования. Сокращение доли безвозмездных и безвозвратных перечислений из областного бюджета в общих доходах муниципального бюджета за счет увеличения собственных доходов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реформирования муниципальных финансов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Долгосрочное бюджетное планирование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Реализация мер по эффективному использованию бюджетных средств за счет применения методов бюджетирования, ориентированных на повышение качества финансового менеджмента в бюджетном секторе,  проведение мониторинга качества финансового менеджмента, осуществляемого субъектами бюджетного планирования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расходов бюджета без ущемления интересов социального сектора и приоритетных отраслей развития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по увеличению прозрачности налоговых поступлений, ликвидации «теневой» заработной платы.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муниципального имущества, передача в собственность или аренду основных фондов муниципального образования, не являющихся достоянием граждан РФ, государства, области или МО, содержание которых является экономически невыгодным.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расходов на содержание муниципального имущества за счет внедрения ресурсосберегающих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Контроль над целевым расходом бюджетных средств, увеличение прозрачности бюджетных потоков; 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– необходимого условия для достижения планируемых целей и результатов бюджетной политики.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Организация четкого взаимодействия с налоговыми органами с целью повышения точности планирования администрируемых ими доходов.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процессом банкротства хозяйствующих субъектов, расположенных на территории МО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стимулирование снижения налоговой недоимки, сокращения числа должников по муниципальным выплатам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 стимулирования и оказания содействия физическим лицам по регистрации права собственности на земельные участки, здания и сооружения,  а также выявление незарегистрированного имущества и его регистрация.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7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финансового рынка и рынка страхования </w:t>
            </w: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финансового рынка и рынка страхования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программ, направленных на повышение качества услуг, предоставляемых предприятиями финансового и страхового рынка, расширение спектра предоставляемых услуг и продуктов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941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социально-экономического климата, стимулирование повышения спроса на продукты финансового рынка для увеличения числа  и разнообразия представительств финансово-кредитных и страховых организаций на территории МО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финансового рынка за счет размещения представительств, банкоматов, многофункциональных терминалов в сельской местности, развития финансовой культуры, внедрения информационных технологий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увеличение инвестиционной активности финансово-кредитных учреждений.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A92038">
        <w:trPr>
          <w:trHeight w:val="377"/>
          <w:jc w:val="center"/>
        </w:trPr>
        <w:tc>
          <w:tcPr>
            <w:tcW w:w="14585" w:type="dxa"/>
            <w:gridSpan w:val="5"/>
            <w:shd w:val="clear" w:color="auto" w:fill="FFFFFF" w:themeFill="background1"/>
            <w:vAlign w:val="center"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внешнеэкономической деятельности</w:t>
            </w: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 w:val="restart"/>
            <w:vAlign w:val="center"/>
          </w:tcPr>
          <w:p w:rsidR="00A07EDF" w:rsidRPr="00CE7110" w:rsidRDefault="00A07EDF" w:rsidP="006D56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1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внешнеэкономической деятельности</w:t>
            </w: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торгово-экономических связей МО с соседними муниципальными образованиями, областным центром, другими субъектами РФ и выход товаров местного производства на международные рынки.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Развитие внутриобластной кооперации.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B41CF6" w:rsidTr="00B05CA2">
        <w:trPr>
          <w:trHeight w:val="377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повышению конкурентоспособности товаропроизводителей МО за счет применения современных эффективных технологий, оборудования, соблюдения трудовой дисциплины, использования качественного сырья и внедрения менеджмента качества, снижения неэффективных издержек, применения ресурсосберегающих технологий. 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EDF" w:rsidRPr="00797004" w:rsidTr="00B05CA2">
        <w:trPr>
          <w:trHeight w:val="369"/>
          <w:jc w:val="center"/>
        </w:trPr>
        <w:tc>
          <w:tcPr>
            <w:tcW w:w="2705" w:type="dxa"/>
            <w:vMerge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2"/>
            <w:shd w:val="clear" w:color="auto" w:fill="FFFFFF"/>
          </w:tcPr>
          <w:p w:rsidR="00A07EDF" w:rsidRPr="00CE7110" w:rsidRDefault="00A07EDF" w:rsidP="006D5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110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инвестиционной привлекательности МО для внешних инвесторов.</w:t>
            </w:r>
          </w:p>
        </w:tc>
        <w:tc>
          <w:tcPr>
            <w:tcW w:w="0" w:type="auto"/>
            <w:vAlign w:val="center"/>
          </w:tcPr>
          <w:p w:rsidR="00A07EDF" w:rsidRPr="00CE7110" w:rsidRDefault="00A07EDF" w:rsidP="006D56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noWrap/>
          </w:tcPr>
          <w:p w:rsidR="00A07EDF" w:rsidRPr="00CE7110" w:rsidRDefault="00A07EDF" w:rsidP="006D56A2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7EDF" w:rsidRPr="00797004" w:rsidRDefault="00A07EDF" w:rsidP="006D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EDF" w:rsidRPr="00797004" w:rsidRDefault="00A07EDF" w:rsidP="006D5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EDF" w:rsidRPr="00797004" w:rsidRDefault="00A07EDF" w:rsidP="006D56A2">
      <w:pPr>
        <w:pStyle w:val="a5"/>
        <w:spacing w:line="240" w:lineRule="auto"/>
        <w:ind w:left="0" w:firstLine="720"/>
        <w:rPr>
          <w:rFonts w:ascii="Times New Roman" w:hAnsi="Times New Roman" w:cs="Times New Roman"/>
          <w:i/>
          <w:color w:val="833C0B" w:themeColor="accent2" w:themeShade="80"/>
          <w:sz w:val="28"/>
          <w:szCs w:val="28"/>
          <w:lang w:val="ru-RU"/>
        </w:rPr>
      </w:pPr>
    </w:p>
    <w:p w:rsidR="00A07EDF" w:rsidRPr="00797004" w:rsidRDefault="00A07EDF" w:rsidP="006D56A2">
      <w:pPr>
        <w:pStyle w:val="a5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40B2C" w:rsidRPr="00797004" w:rsidRDefault="00E40B2C" w:rsidP="006D56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0B2C" w:rsidRPr="00797004" w:rsidSect="00661889">
      <w:pgSz w:w="16838" w:h="11905" w:orient="landscape"/>
      <w:pgMar w:top="1701" w:right="1134" w:bottom="85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5BC"/>
    <w:multiLevelType w:val="hybridMultilevel"/>
    <w:tmpl w:val="2480AF90"/>
    <w:lvl w:ilvl="0" w:tplc="601EFB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113343"/>
    <w:multiLevelType w:val="hybridMultilevel"/>
    <w:tmpl w:val="30082C3A"/>
    <w:lvl w:ilvl="0" w:tplc="F5E6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7A7714"/>
    <w:multiLevelType w:val="hybridMultilevel"/>
    <w:tmpl w:val="34A2B072"/>
    <w:lvl w:ilvl="0" w:tplc="601EF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2C"/>
    <w:rsid w:val="00020315"/>
    <w:rsid w:val="00024928"/>
    <w:rsid w:val="00086845"/>
    <w:rsid w:val="000F3868"/>
    <w:rsid w:val="001658A6"/>
    <w:rsid w:val="0018572A"/>
    <w:rsid w:val="001B15C6"/>
    <w:rsid w:val="001E350A"/>
    <w:rsid w:val="0021245B"/>
    <w:rsid w:val="00244E0B"/>
    <w:rsid w:val="002450F6"/>
    <w:rsid w:val="00247F6D"/>
    <w:rsid w:val="002A62A6"/>
    <w:rsid w:val="002C7AF2"/>
    <w:rsid w:val="00327BCA"/>
    <w:rsid w:val="003C4604"/>
    <w:rsid w:val="003D6E7A"/>
    <w:rsid w:val="003F68EF"/>
    <w:rsid w:val="0045624A"/>
    <w:rsid w:val="00491C29"/>
    <w:rsid w:val="004C2460"/>
    <w:rsid w:val="0052182C"/>
    <w:rsid w:val="00540369"/>
    <w:rsid w:val="005A25AA"/>
    <w:rsid w:val="005C78A3"/>
    <w:rsid w:val="005F546A"/>
    <w:rsid w:val="005F5A0A"/>
    <w:rsid w:val="00653E5E"/>
    <w:rsid w:val="00661889"/>
    <w:rsid w:val="00683F9E"/>
    <w:rsid w:val="006923F7"/>
    <w:rsid w:val="006B7137"/>
    <w:rsid w:val="006C296B"/>
    <w:rsid w:val="006D4729"/>
    <w:rsid w:val="006D56A2"/>
    <w:rsid w:val="007212F2"/>
    <w:rsid w:val="00721C91"/>
    <w:rsid w:val="00782771"/>
    <w:rsid w:val="00797004"/>
    <w:rsid w:val="007C3179"/>
    <w:rsid w:val="007D3B8F"/>
    <w:rsid w:val="007E2D46"/>
    <w:rsid w:val="00801972"/>
    <w:rsid w:val="00833C07"/>
    <w:rsid w:val="00977443"/>
    <w:rsid w:val="009901CA"/>
    <w:rsid w:val="009C4438"/>
    <w:rsid w:val="00A07EDF"/>
    <w:rsid w:val="00A33684"/>
    <w:rsid w:val="00A41813"/>
    <w:rsid w:val="00A91C37"/>
    <w:rsid w:val="00A92038"/>
    <w:rsid w:val="00B05CA2"/>
    <w:rsid w:val="00B41CF6"/>
    <w:rsid w:val="00C67F1E"/>
    <w:rsid w:val="00C72DEE"/>
    <w:rsid w:val="00C75488"/>
    <w:rsid w:val="00CA4632"/>
    <w:rsid w:val="00CA533E"/>
    <w:rsid w:val="00CB4236"/>
    <w:rsid w:val="00CE7110"/>
    <w:rsid w:val="00CF5247"/>
    <w:rsid w:val="00D22C3F"/>
    <w:rsid w:val="00D35909"/>
    <w:rsid w:val="00D62323"/>
    <w:rsid w:val="00D916B5"/>
    <w:rsid w:val="00D9416B"/>
    <w:rsid w:val="00E40B2C"/>
    <w:rsid w:val="00E53875"/>
    <w:rsid w:val="00E5586B"/>
    <w:rsid w:val="00E75A0D"/>
    <w:rsid w:val="00EC169C"/>
    <w:rsid w:val="00EF521A"/>
    <w:rsid w:val="00F158E1"/>
    <w:rsid w:val="00F37CFE"/>
    <w:rsid w:val="00F77EA1"/>
    <w:rsid w:val="00FA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179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E7A"/>
    <w:pPr>
      <w:spacing w:after="0" w:line="276" w:lineRule="auto"/>
      <w:ind w:left="720"/>
      <w:contextualSpacing/>
      <w:jc w:val="both"/>
    </w:pPr>
    <w:rPr>
      <w:rFonts w:eastAsiaTheme="minorEastAsia"/>
      <w:lang w:val="en-US" w:bidi="en-US"/>
    </w:rPr>
  </w:style>
  <w:style w:type="table" w:styleId="a6">
    <w:name w:val="Table Grid"/>
    <w:basedOn w:val="a1"/>
    <w:rsid w:val="00977443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18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6188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88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B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179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E7A"/>
    <w:pPr>
      <w:spacing w:after="0" w:line="276" w:lineRule="auto"/>
      <w:ind w:left="720"/>
      <w:contextualSpacing/>
      <w:jc w:val="both"/>
    </w:pPr>
    <w:rPr>
      <w:rFonts w:eastAsiaTheme="minorEastAsia"/>
      <w:lang w:val="en-US" w:bidi="en-US"/>
    </w:rPr>
  </w:style>
  <w:style w:type="table" w:styleId="a6">
    <w:name w:val="Table Grid"/>
    <w:basedOn w:val="a1"/>
    <w:rsid w:val="00977443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18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6188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6188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44EF34E31437921BDDF4DB45D61587EF38CE27E75ECF6FFB17D6BB2BF6BE881D4B5ADE98790DAFED3ED1808L" TargetMode="External"/><Relationship Id="rId13" Type="http://schemas.openxmlformats.org/officeDocument/2006/relationships/hyperlink" Target="consultantplus://offline/ref=A1544EF34E31437921BDDF4DB45D61587EF38CE27E75ECF6FFB17D6BB2BF6BE881D4B5ADE98790DAFED3ED1808L" TargetMode="External"/><Relationship Id="rId18" Type="http://schemas.openxmlformats.org/officeDocument/2006/relationships/hyperlink" Target="consultantplus://offline/ref=A1544EF34E31437921BDDF4DB45D61587EF38CE27E75ECF6FFB17D6BB2BF6BE881D4B5ADE98790DAFED3ED1808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544EF34E31437921BDC140A2313C5C7CF8D2EF7875EFA6A7EE2636E51B06L" TargetMode="External"/><Relationship Id="rId12" Type="http://schemas.openxmlformats.org/officeDocument/2006/relationships/hyperlink" Target="consultantplus://offline/ref=A1544EF34E31437921BDDF4DB45D61587EF38CE27E75ECF6FFB17D6BB2BF6BE881D4B5ADE98790DAFED3ED1808L" TargetMode="External"/><Relationship Id="rId17" Type="http://schemas.openxmlformats.org/officeDocument/2006/relationships/hyperlink" Target="consultantplus://offline/ref=A1544EF34E31437921BDDF4DB45D61587EF38CE27E75ECF6FFB17D6BB2BF6BE881D4B5ADE98790DAFED3ED180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544EF34E31437921BDDF4DB45D61587EF38CE27E75ECF6FFB17D6BB2BF6BE881D4B5ADE98790DAFED3ED1808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544EF34E31437921BDC140A2313C5C7CF8D2EF7875EFA6A7EE2636E51B0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544EF34E31437921BDDF4DB45D61587EF38CE27E75ECF6FFB17D6BB2BF6BE881D4B5ADE98790DAFED3ED1808L" TargetMode="External"/><Relationship Id="rId10" Type="http://schemas.openxmlformats.org/officeDocument/2006/relationships/hyperlink" Target="consultantplus://offline/ref=A1544EF34E31437921BDDF4DB45D61587EF38CE27E75ECF6FFB17D6BB2BF6BE881D4B5ADE98790DAFED3ED1808L" TargetMode="External"/><Relationship Id="rId19" Type="http://schemas.openxmlformats.org/officeDocument/2006/relationships/hyperlink" Target="consultantplus://offline/ref=A1544EF34E31437921BDDF4DB45D61587EF38CE27E75ECF6FFB17D6BB2BF6BE881D4B5ADE98790DAFED3ED180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544EF34E31437921BDDF4DB45D61587EF38CE27E75ECF6FFB17D6BB2BF6BE881D4B5ADE98790DAFED3ED1808L" TargetMode="External"/><Relationship Id="rId14" Type="http://schemas.openxmlformats.org/officeDocument/2006/relationships/hyperlink" Target="consultantplus://offline/ref=A1544EF34E31437921BDDF4DB45D61587EF38CE27E75ECF6FFB17D6BB2BF6BE881D4B5ADE98790DAFED3ED18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75D974-2CB9-44E8-8CC2-B2116275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7208</Words>
  <Characters>41086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Батраев Валерий Михайлович</dc:creator>
  <cp:lastModifiedBy>Ткачева</cp:lastModifiedBy>
  <cp:revision>2</cp:revision>
  <cp:lastPrinted>2017-03-13T12:52:00Z</cp:lastPrinted>
  <dcterms:created xsi:type="dcterms:W3CDTF">2022-06-17T07:33:00Z</dcterms:created>
  <dcterms:modified xsi:type="dcterms:W3CDTF">2022-06-17T07:33:00Z</dcterms:modified>
</cp:coreProperties>
</file>